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EB" w:rsidRDefault="00EB5FA2" w:rsidP="00160DFA">
      <w:pPr>
        <w:jc w:val="center"/>
        <w:rPr>
          <w:b/>
          <w:bCs/>
          <w:caps/>
        </w:rPr>
      </w:pPr>
      <w:r w:rsidRPr="00EB5FA2">
        <w:rPr>
          <w:b/>
          <w:bCs/>
          <w:cap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30026FC" wp14:editId="67E47AE5">
            <wp:simplePos x="0" y="0"/>
            <wp:positionH relativeFrom="column">
              <wp:posOffset>1814830</wp:posOffset>
            </wp:positionH>
            <wp:positionV relativeFrom="paragraph">
              <wp:posOffset>-375920</wp:posOffset>
            </wp:positionV>
            <wp:extent cx="16954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57" y="21278"/>
                <wp:lineTo x="21357" y="0"/>
                <wp:lineTo x="0" y="0"/>
              </wp:wrapPolygon>
            </wp:wrapTight>
            <wp:docPr id="3" name="Picture 3" descr="CBC cro-bih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BC cro-bih logo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2EB" w:rsidRDefault="00BA02EB" w:rsidP="00160DFA">
      <w:pPr>
        <w:jc w:val="center"/>
        <w:rPr>
          <w:b/>
          <w:bCs/>
          <w:caps/>
        </w:rPr>
      </w:pPr>
    </w:p>
    <w:p w:rsidR="00BA02EB" w:rsidRDefault="00BA02EB" w:rsidP="00160DFA">
      <w:pPr>
        <w:jc w:val="center"/>
        <w:rPr>
          <w:b/>
          <w:bCs/>
          <w:caps/>
        </w:rPr>
      </w:pPr>
    </w:p>
    <w:p w:rsidR="00BA02EB" w:rsidRDefault="00BA02EB" w:rsidP="00160DFA">
      <w:pPr>
        <w:jc w:val="center"/>
        <w:rPr>
          <w:b/>
          <w:bCs/>
          <w:caps/>
        </w:rPr>
      </w:pPr>
    </w:p>
    <w:p w:rsidR="00BA02EB" w:rsidRDefault="00BA02EB" w:rsidP="00160DFA">
      <w:pPr>
        <w:jc w:val="center"/>
        <w:rPr>
          <w:b/>
          <w:bCs/>
          <w:caps/>
        </w:rPr>
      </w:pPr>
    </w:p>
    <w:p w:rsidR="00BA02EB" w:rsidRDefault="00BA02EB" w:rsidP="00160DFA">
      <w:pPr>
        <w:jc w:val="center"/>
        <w:rPr>
          <w:b/>
          <w:bCs/>
          <w:caps/>
        </w:rPr>
      </w:pPr>
    </w:p>
    <w:p w:rsidR="00C90465" w:rsidRPr="00FC535C" w:rsidRDefault="00C90465" w:rsidP="00160DFA">
      <w:pPr>
        <w:jc w:val="center"/>
        <w:rPr>
          <w:b/>
          <w:bCs/>
          <w:caps/>
        </w:rPr>
      </w:pPr>
      <w:r w:rsidRPr="00FC535C">
        <w:rPr>
          <w:b/>
          <w:bCs/>
          <w:caps/>
        </w:rPr>
        <w:t xml:space="preserve">IPA Program prekogranične suradnje </w:t>
      </w:r>
    </w:p>
    <w:p w:rsidR="00C90465" w:rsidRPr="00FC535C" w:rsidRDefault="00C90465" w:rsidP="00160DFA">
      <w:pPr>
        <w:jc w:val="center"/>
        <w:rPr>
          <w:b/>
          <w:bCs/>
          <w:caps/>
        </w:rPr>
      </w:pPr>
      <w:r w:rsidRPr="00FC535C">
        <w:rPr>
          <w:b/>
          <w:bCs/>
          <w:caps/>
        </w:rPr>
        <w:t>HrvatskA – BOSNA I HERCEGOVINA 2007. – 2013.</w:t>
      </w:r>
    </w:p>
    <w:p w:rsidR="00C90465" w:rsidRPr="00FC535C" w:rsidRDefault="00C90465" w:rsidP="00160DFA"/>
    <w:p w:rsidR="00FA2200" w:rsidRPr="00FA2200" w:rsidRDefault="00FA2200" w:rsidP="00F868EF">
      <w:pPr>
        <w:spacing w:before="120" w:after="120"/>
        <w:jc w:val="both"/>
        <w:rPr>
          <w:rStyle w:val="apple-style-span"/>
          <w:color w:val="000000"/>
        </w:rPr>
      </w:pPr>
      <w:r w:rsidRPr="00FA2200">
        <w:rPr>
          <w:rStyle w:val="apple-style-span"/>
        </w:rPr>
        <w:t xml:space="preserve">IPA prekogranični program suradnje između Hrvatske i Bosne i Hercegovine pokriva financijsko razdoblje 2007.-2013. a </w:t>
      </w:r>
      <w:r>
        <w:rPr>
          <w:color w:val="000000"/>
        </w:rPr>
        <w:t xml:space="preserve">službeno </w:t>
      </w:r>
      <w:r w:rsidR="00FA679E">
        <w:rPr>
          <w:color w:val="000000"/>
        </w:rPr>
        <w:t xml:space="preserve">je </w:t>
      </w:r>
      <w:r>
        <w:rPr>
          <w:color w:val="000000"/>
        </w:rPr>
        <w:t xml:space="preserve">pokrenut krajem 2008. </w:t>
      </w:r>
      <w:r w:rsidR="00FA679E">
        <w:rPr>
          <w:color w:val="000000"/>
        </w:rPr>
        <w:t>godine</w:t>
      </w:r>
      <w:r>
        <w:rPr>
          <w:rStyle w:val="apple-style-span"/>
        </w:rPr>
        <w:t>.</w:t>
      </w:r>
      <w:r>
        <w:rPr>
          <w:color w:val="000000"/>
        </w:rPr>
        <w:t xml:space="preserve"> </w:t>
      </w:r>
      <w:r w:rsidRPr="00FA2200">
        <w:rPr>
          <w:rStyle w:val="apple-style-span"/>
        </w:rPr>
        <w:t xml:space="preserve">Program podržava komponenta II (prekogranična suradnja) „Instrumenta </w:t>
      </w:r>
      <w:r w:rsidR="00B03269">
        <w:rPr>
          <w:rStyle w:val="apple-style-span"/>
        </w:rPr>
        <w:t>pretpristupne pomoći“  EU (IPA)</w:t>
      </w:r>
      <w:r w:rsidRPr="00FA2200">
        <w:rPr>
          <w:rStyle w:val="apple-style-span"/>
        </w:rPr>
        <w:t xml:space="preserve"> u okviru koje je za cjelokupno vrijeme trajanja Programa i </w:t>
      </w:r>
      <w:r w:rsidR="00B03269">
        <w:rPr>
          <w:rStyle w:val="apple-style-span"/>
        </w:rPr>
        <w:t xml:space="preserve">za </w:t>
      </w:r>
      <w:r w:rsidRPr="00FA2200">
        <w:rPr>
          <w:rStyle w:val="apple-style-span"/>
        </w:rPr>
        <w:t xml:space="preserve">obje države sudionice ukupno alocirano 14 milijuna eura.  </w:t>
      </w:r>
    </w:p>
    <w:p w:rsidR="00C90465" w:rsidRPr="00F6656A" w:rsidRDefault="00C90465" w:rsidP="00F868EF">
      <w:pPr>
        <w:pStyle w:val="Naslov2"/>
        <w:spacing w:before="120" w:after="120" w:line="240" w:lineRule="auto"/>
        <w:jc w:val="both"/>
        <w:rPr>
          <w:sz w:val="24"/>
          <w:szCs w:val="24"/>
        </w:rPr>
      </w:pPr>
      <w:r w:rsidRPr="00F6656A">
        <w:rPr>
          <w:sz w:val="24"/>
          <w:szCs w:val="24"/>
        </w:rPr>
        <w:t>Područja prihvatljiva za financiranje</w:t>
      </w:r>
    </w:p>
    <w:p w:rsidR="00C90465" w:rsidRDefault="00C90465" w:rsidP="00F868EF">
      <w:pPr>
        <w:spacing w:before="120" w:after="120"/>
        <w:jc w:val="both"/>
      </w:pPr>
      <w:r>
        <w:t>P</w:t>
      </w:r>
      <w:r w:rsidRPr="00595E1D">
        <w:t>rogramsko područje</w:t>
      </w:r>
      <w:r w:rsidRPr="00FC535C">
        <w:t xml:space="preserve"> </w:t>
      </w:r>
      <w:r w:rsidR="00556108">
        <w:t xml:space="preserve">obuhvaća </w:t>
      </w:r>
      <w:r w:rsidRPr="00FC535C">
        <w:t xml:space="preserve">područje uz granicu Republike Hrvatske i Bosne i Hercegovine. Programsko područje čine </w:t>
      </w:r>
      <w:r w:rsidRPr="00FC535C">
        <w:rPr>
          <w:rStyle w:val="Naglaeno"/>
          <w:b w:val="0"/>
          <w:bCs w:val="0"/>
        </w:rPr>
        <w:t>„prihvatljiva“</w:t>
      </w:r>
      <w:r w:rsidRPr="00FC535C">
        <w:t xml:space="preserve"> i </w:t>
      </w:r>
      <w:r w:rsidRPr="00FC535C">
        <w:rPr>
          <w:rStyle w:val="Naglaeno"/>
          <w:b w:val="0"/>
          <w:bCs w:val="0"/>
        </w:rPr>
        <w:t>„pridružena“</w:t>
      </w:r>
      <w:r w:rsidRPr="00FC535C">
        <w:t xml:space="preserve"> (tj. susjedna) područja</w:t>
      </w:r>
      <w:r>
        <w:t>.</w:t>
      </w:r>
    </w:p>
    <w:p w:rsidR="00C90465" w:rsidRPr="00F1467B" w:rsidRDefault="00C90465" w:rsidP="00F868EF">
      <w:pPr>
        <w:spacing w:before="120" w:after="120"/>
        <w:jc w:val="both"/>
        <w:rPr>
          <w:b/>
          <w:bCs/>
        </w:rPr>
      </w:pPr>
      <w:r w:rsidRPr="00D9495C">
        <w:t xml:space="preserve">Prihvatljivo </w:t>
      </w:r>
      <w:r w:rsidRPr="00FC535C">
        <w:t>područje u Republici Hrvatskoj uključuje 9 županija: Vukovarsko-srijemska, Brodsko-posavska, Sisačko-moslavačka, Karlovačka, Ličko-senjska, Zadarska, Šibensko-kninska, Splitsko-dalmatinska i Dubrovačko-</w:t>
      </w:r>
      <w:r w:rsidRPr="00F1467B">
        <w:t>neretvanska. U Bosni i Hercegovini prihvatljivo područje obuhvaća 95 općina</w:t>
      </w:r>
      <w:r>
        <w:t>.</w:t>
      </w:r>
    </w:p>
    <w:p w:rsidR="00C90465" w:rsidRDefault="00C90465" w:rsidP="00F868EF">
      <w:pPr>
        <w:jc w:val="both"/>
      </w:pPr>
      <w:r w:rsidRPr="00D9495C">
        <w:t>Pridruženo</w:t>
      </w:r>
      <w:r w:rsidRPr="00F1467B">
        <w:t xml:space="preserve"> područje obuhvaća dodatnih 5 hrvatskih županija: Osječko-baranjska, Požeško-slavonska, Zagrebačka, Bjelovarsko-bilogorska i Primorsko-goranska te 16 općina  u Bosni i Hercegovini</w:t>
      </w:r>
      <w:r>
        <w:t>.</w:t>
      </w:r>
    </w:p>
    <w:p w:rsidR="00C90465" w:rsidRPr="00F6656A" w:rsidRDefault="00C90465" w:rsidP="00F868EF">
      <w:pPr>
        <w:pStyle w:val="Naslov2"/>
        <w:spacing w:before="120" w:after="120" w:line="240" w:lineRule="auto"/>
        <w:jc w:val="both"/>
        <w:rPr>
          <w:sz w:val="24"/>
          <w:szCs w:val="24"/>
        </w:rPr>
      </w:pPr>
      <w:r w:rsidRPr="00F6656A">
        <w:rPr>
          <w:sz w:val="24"/>
          <w:szCs w:val="24"/>
        </w:rPr>
        <w:t>Područja ulaganja (Prioriteti i mjere)</w:t>
      </w:r>
    </w:p>
    <w:p w:rsidR="00B03269" w:rsidRPr="00B03269" w:rsidRDefault="00B03269" w:rsidP="00B03269">
      <w:pPr>
        <w:autoSpaceDE w:val="0"/>
        <w:autoSpaceDN w:val="0"/>
        <w:adjustRightInd w:val="0"/>
        <w:spacing w:after="120"/>
        <w:jc w:val="both"/>
        <w:rPr>
          <w:bCs/>
          <w:szCs w:val="22"/>
        </w:rPr>
      </w:pPr>
      <w:r>
        <w:rPr>
          <w:bCs/>
          <w:szCs w:val="22"/>
        </w:rPr>
        <w:t xml:space="preserve">U svrhu postizanja </w:t>
      </w:r>
      <w:r w:rsidR="00BE0182">
        <w:rPr>
          <w:bCs/>
          <w:szCs w:val="22"/>
        </w:rPr>
        <w:t xml:space="preserve">općeg cilja - </w:t>
      </w:r>
      <w:r w:rsidR="00BE0182" w:rsidRPr="00BE0182">
        <w:rPr>
          <w:bCs/>
          <w:szCs w:val="22"/>
        </w:rPr>
        <w:t>stvaranj</w:t>
      </w:r>
      <w:r w:rsidR="00BE0182">
        <w:rPr>
          <w:bCs/>
          <w:szCs w:val="22"/>
        </w:rPr>
        <w:t>a</w:t>
      </w:r>
      <w:r w:rsidR="00BE0182" w:rsidRPr="00BE0182">
        <w:rPr>
          <w:bCs/>
          <w:szCs w:val="22"/>
        </w:rPr>
        <w:t xml:space="preserve"> prekograničnih mreža i partnerstava te razvoj</w:t>
      </w:r>
      <w:r w:rsidR="00BE0182">
        <w:rPr>
          <w:bCs/>
          <w:szCs w:val="22"/>
        </w:rPr>
        <w:t>a</w:t>
      </w:r>
      <w:r w:rsidR="00BE0182" w:rsidRPr="00BE0182">
        <w:rPr>
          <w:bCs/>
          <w:szCs w:val="22"/>
        </w:rPr>
        <w:t xml:space="preserve"> zajedničkih prekograničnih djelovanja radi revitalizacije gospodarstva, zaštite prirode i okoliša </w:t>
      </w:r>
      <w:r w:rsidR="00BE0182">
        <w:rPr>
          <w:bCs/>
          <w:szCs w:val="22"/>
        </w:rPr>
        <w:t>te</w:t>
      </w:r>
      <w:r w:rsidR="00BE0182" w:rsidRPr="00BE0182">
        <w:rPr>
          <w:bCs/>
          <w:szCs w:val="22"/>
        </w:rPr>
        <w:t xml:space="preserve"> jačanja socijalne kohezije programskog područja</w:t>
      </w:r>
      <w:r w:rsidR="00BE0182">
        <w:rPr>
          <w:bCs/>
          <w:szCs w:val="22"/>
        </w:rPr>
        <w:t xml:space="preserve"> -</w:t>
      </w:r>
      <w:r w:rsidR="004A40F3">
        <w:rPr>
          <w:bCs/>
          <w:szCs w:val="22"/>
        </w:rPr>
        <w:t xml:space="preserve"> </w:t>
      </w:r>
      <w:r w:rsidRPr="00B03269">
        <w:rPr>
          <w:bCs/>
          <w:szCs w:val="22"/>
        </w:rPr>
        <w:t xml:space="preserve">Program </w:t>
      </w:r>
      <w:r w:rsidR="00691BF5">
        <w:rPr>
          <w:bCs/>
          <w:szCs w:val="22"/>
        </w:rPr>
        <w:t>j</w:t>
      </w:r>
      <w:r w:rsidR="00BE0182">
        <w:rPr>
          <w:bCs/>
          <w:szCs w:val="22"/>
        </w:rPr>
        <w:t xml:space="preserve">e </w:t>
      </w:r>
      <w:r w:rsidR="00691BF5">
        <w:rPr>
          <w:bCs/>
          <w:szCs w:val="22"/>
        </w:rPr>
        <w:t>u</w:t>
      </w:r>
      <w:r w:rsidRPr="00B03269">
        <w:rPr>
          <w:bCs/>
          <w:szCs w:val="22"/>
        </w:rPr>
        <w:t>temelj</w:t>
      </w:r>
      <w:r w:rsidR="00691BF5">
        <w:rPr>
          <w:bCs/>
          <w:szCs w:val="22"/>
        </w:rPr>
        <w:t>en</w:t>
      </w:r>
      <w:r w:rsidRPr="00B03269">
        <w:rPr>
          <w:bCs/>
          <w:szCs w:val="22"/>
        </w:rPr>
        <w:t xml:space="preserve"> na dva prioriteta i četiri odgovarajuće mjere: </w:t>
      </w:r>
    </w:p>
    <w:p w:rsidR="00B03269" w:rsidRPr="00B03269" w:rsidRDefault="00FA679E" w:rsidP="00B03269">
      <w:pPr>
        <w:pStyle w:val="StandardWeb"/>
        <w:shd w:val="clear" w:color="auto" w:fill="FFFFFF"/>
        <w:spacing w:before="0" w:beforeAutospacing="0" w:after="0" w:afterAutospacing="0" w:line="270" w:lineRule="atLeast"/>
        <w:rPr>
          <w:rStyle w:val="Naglaeno"/>
          <w:color w:val="4F4F4F"/>
          <w:szCs w:val="22"/>
          <w:bdr w:val="none" w:sz="0" w:space="0" w:color="auto" w:frame="1"/>
        </w:rPr>
      </w:pPr>
      <w:hyperlink r:id="rId7" w:history="1">
        <w:r w:rsidR="00B03269" w:rsidRPr="00B03269">
          <w:rPr>
            <w:rStyle w:val="Hiperveza"/>
            <w:b/>
            <w:bCs/>
            <w:color w:val="4171B1"/>
            <w:szCs w:val="22"/>
            <w:bdr w:val="none" w:sz="0" w:space="0" w:color="auto" w:frame="1"/>
          </w:rPr>
          <w:t>Prioritet 1: Stvaranje zajedničkog gospodarskog/ekonomskog prostora</w:t>
        </w:r>
      </w:hyperlink>
    </w:p>
    <w:p w:rsidR="00B03269" w:rsidRPr="00B03269" w:rsidRDefault="00B03269" w:rsidP="00B03269">
      <w:pPr>
        <w:pStyle w:val="StandardWeb"/>
        <w:shd w:val="clear" w:color="auto" w:fill="FFFFFF"/>
        <w:spacing w:before="0" w:beforeAutospacing="0" w:after="0" w:afterAutospacing="0" w:line="270" w:lineRule="atLeast"/>
        <w:rPr>
          <w:szCs w:val="22"/>
        </w:rPr>
      </w:pPr>
      <w:r w:rsidRPr="00B03269">
        <w:rPr>
          <w:rStyle w:val="Naglaeno"/>
          <w:szCs w:val="22"/>
          <w:bdr w:val="none" w:sz="0" w:space="0" w:color="auto" w:frame="1"/>
        </w:rPr>
        <w:t>Mjera 1.1</w:t>
      </w:r>
      <w:r w:rsidRPr="00B03269">
        <w:rPr>
          <w:szCs w:val="22"/>
        </w:rPr>
        <w:t>: Razvoj zajedničke turističke ponude</w:t>
      </w:r>
    </w:p>
    <w:p w:rsidR="00B03269" w:rsidRPr="00B03269" w:rsidRDefault="00B03269" w:rsidP="00B03269">
      <w:pPr>
        <w:pStyle w:val="StandardWeb"/>
        <w:shd w:val="clear" w:color="auto" w:fill="FFFFFF"/>
        <w:spacing w:before="0" w:beforeAutospacing="0" w:after="120" w:afterAutospacing="0" w:line="270" w:lineRule="atLeast"/>
        <w:rPr>
          <w:szCs w:val="22"/>
        </w:rPr>
      </w:pPr>
      <w:r w:rsidRPr="00B03269">
        <w:rPr>
          <w:rStyle w:val="Naglaeno"/>
          <w:szCs w:val="22"/>
          <w:bdr w:val="none" w:sz="0" w:space="0" w:color="auto" w:frame="1"/>
        </w:rPr>
        <w:t>Mjera 1.2</w:t>
      </w:r>
      <w:r w:rsidRPr="00B03269">
        <w:rPr>
          <w:szCs w:val="22"/>
        </w:rPr>
        <w:t>: Promicanje poduzetništva</w:t>
      </w:r>
    </w:p>
    <w:p w:rsidR="00B03269" w:rsidRPr="00B03269" w:rsidRDefault="00FA679E" w:rsidP="00B03269">
      <w:pPr>
        <w:pStyle w:val="StandardWeb"/>
        <w:shd w:val="clear" w:color="auto" w:fill="FFFFFF"/>
        <w:spacing w:before="0" w:beforeAutospacing="0" w:after="0" w:afterAutospacing="0" w:line="270" w:lineRule="atLeast"/>
        <w:rPr>
          <w:color w:val="4F4F4F"/>
          <w:szCs w:val="22"/>
        </w:rPr>
      </w:pPr>
      <w:hyperlink r:id="rId8" w:history="1">
        <w:r w:rsidR="00B03269" w:rsidRPr="00B03269">
          <w:rPr>
            <w:rStyle w:val="Hiperveza"/>
            <w:b/>
            <w:bCs/>
            <w:color w:val="4171B1"/>
            <w:szCs w:val="22"/>
            <w:bdr w:val="none" w:sz="0" w:space="0" w:color="auto" w:frame="1"/>
          </w:rPr>
          <w:t>Prioritet 2: Poboljšanje kvalitete života i socijalne kohezije</w:t>
        </w:r>
      </w:hyperlink>
    </w:p>
    <w:p w:rsidR="00B03269" w:rsidRPr="00B03269" w:rsidRDefault="00B03269" w:rsidP="00B03269">
      <w:pPr>
        <w:pStyle w:val="StandardWeb"/>
        <w:shd w:val="clear" w:color="auto" w:fill="FFFFFF"/>
        <w:spacing w:before="0" w:beforeAutospacing="0" w:after="0" w:afterAutospacing="0" w:line="270" w:lineRule="atLeast"/>
        <w:rPr>
          <w:szCs w:val="22"/>
        </w:rPr>
      </w:pPr>
      <w:r w:rsidRPr="00B03269">
        <w:rPr>
          <w:rStyle w:val="Naglaeno"/>
          <w:szCs w:val="22"/>
          <w:bdr w:val="none" w:sz="0" w:space="0" w:color="auto" w:frame="1"/>
        </w:rPr>
        <w:t>Mjera 2.1</w:t>
      </w:r>
      <w:r w:rsidRPr="00B03269">
        <w:rPr>
          <w:szCs w:val="22"/>
        </w:rPr>
        <w:t>: Zaštita okoliša</w:t>
      </w:r>
    </w:p>
    <w:p w:rsidR="00B03269" w:rsidRPr="00B03269" w:rsidRDefault="00B03269" w:rsidP="00B03269">
      <w:pPr>
        <w:pStyle w:val="Naslov2"/>
        <w:spacing w:after="120" w:line="240" w:lineRule="auto"/>
        <w:jc w:val="both"/>
        <w:rPr>
          <w:color w:val="auto"/>
          <w:sz w:val="24"/>
          <w:szCs w:val="22"/>
        </w:rPr>
      </w:pPr>
      <w:r w:rsidRPr="00B03269">
        <w:rPr>
          <w:rStyle w:val="Naglaeno"/>
          <w:b/>
          <w:color w:val="auto"/>
          <w:sz w:val="24"/>
          <w:szCs w:val="22"/>
          <w:bdr w:val="none" w:sz="0" w:space="0" w:color="auto" w:frame="1"/>
        </w:rPr>
        <w:t>Mjera 2.2</w:t>
      </w:r>
      <w:r w:rsidRPr="00B03269">
        <w:rPr>
          <w:b w:val="0"/>
          <w:color w:val="auto"/>
          <w:sz w:val="24"/>
          <w:szCs w:val="22"/>
        </w:rPr>
        <w:t>:</w:t>
      </w:r>
      <w:r w:rsidRPr="00B03269">
        <w:rPr>
          <w:color w:val="auto"/>
          <w:sz w:val="24"/>
          <w:szCs w:val="22"/>
        </w:rPr>
        <w:t xml:space="preserve"> </w:t>
      </w:r>
      <w:r w:rsidRPr="00B03269">
        <w:rPr>
          <w:b w:val="0"/>
          <w:color w:val="auto"/>
          <w:sz w:val="24"/>
          <w:szCs w:val="22"/>
        </w:rPr>
        <w:t>Poboljšanje dostupnosti svih usluga u lokalnoj zajednici u pograničnom području</w:t>
      </w:r>
    </w:p>
    <w:p w:rsidR="00C90465" w:rsidRDefault="00C90465" w:rsidP="00B03269">
      <w:pPr>
        <w:pStyle w:val="Naslov2"/>
        <w:spacing w:before="120" w:after="120" w:line="240" w:lineRule="auto"/>
        <w:jc w:val="both"/>
        <w:rPr>
          <w:sz w:val="24"/>
          <w:szCs w:val="24"/>
        </w:rPr>
      </w:pPr>
      <w:r w:rsidRPr="00F6656A">
        <w:rPr>
          <w:sz w:val="24"/>
          <w:szCs w:val="24"/>
        </w:rPr>
        <w:t>Tko mogu biti korisnici</w:t>
      </w:r>
    </w:p>
    <w:p w:rsidR="00C90465" w:rsidRPr="007A0B9E" w:rsidRDefault="00C90465" w:rsidP="00F868EF">
      <w:pPr>
        <w:jc w:val="both"/>
      </w:pPr>
      <w:r w:rsidRPr="00670A22">
        <w:t xml:space="preserve">Program je namijenjen neprofitnim organizacijama i institucijama koje u okviru prekograničnog projekta žele ostvariti suradnju s najmanje jednim prekograničnim partnerom iz susjedne države. Projektne aktivnosti moraju doprinositi ciljevima programa i njihovim prioritetima te se moraju odvijati u prihvatljivom području. Prijavitelji projekata obavezni su  sufinancirati projekt svojim vlastitim sredstvima. </w:t>
      </w:r>
      <w:r w:rsidRPr="007A0B9E">
        <w:t xml:space="preserve">Potencijalni korisnici </w:t>
      </w:r>
      <w:r w:rsidR="00B635E8">
        <w:t>su</w:t>
      </w:r>
      <w:r w:rsidR="009025D7">
        <w:t xml:space="preserve"> </w:t>
      </w:r>
      <w:r>
        <w:t>r</w:t>
      </w:r>
      <w:r w:rsidRPr="007A0B9E">
        <w:t>e</w:t>
      </w:r>
      <w:r>
        <w:t>gionalna i lokalna javna uprava, j</w:t>
      </w:r>
      <w:r w:rsidRPr="007A0B9E">
        <w:t>avna tijela (fondovi, institucije, agencije)</w:t>
      </w:r>
      <w:r>
        <w:t xml:space="preserve">, </w:t>
      </w:r>
      <w:r w:rsidRPr="007A0B9E">
        <w:t>istraživačko-razvojne institucije, odgojno-obrazovne institucije, institucija zdravstvene skrbi, institucije za zaštitu prirode i kulturne baštine, lokalne i regionalne razvojne agencije, turističke zajednice i udruženja</w:t>
      </w:r>
      <w:r>
        <w:t xml:space="preserve">, </w:t>
      </w:r>
      <w:r>
        <w:lastRenderedPageBreak/>
        <w:t>p</w:t>
      </w:r>
      <w:r w:rsidRPr="007A0B9E">
        <w:t xml:space="preserve">rivatni instituti </w:t>
      </w:r>
      <w:r>
        <w:t xml:space="preserve">osnovani </w:t>
      </w:r>
      <w:r w:rsidRPr="007A0B9E">
        <w:t>radi zadovoljenja potreba od općeg interesa (kao što su obrazovni i istraživački instituti) sve</w:t>
      </w:r>
      <w:r>
        <w:t xml:space="preserve"> dok rade na neprofitnoj osnovi, NVO,</w:t>
      </w:r>
      <w:r w:rsidRPr="007A0B9E">
        <w:t xml:space="preserve"> udruženja i zaklade/fondacije;</w:t>
      </w:r>
    </w:p>
    <w:p w:rsidR="00C90465" w:rsidRDefault="00C90465" w:rsidP="00F868EF">
      <w:pPr>
        <w:spacing w:after="120"/>
        <w:jc w:val="both"/>
      </w:pPr>
      <w:r>
        <w:t>g</w:t>
      </w:r>
      <w:r w:rsidRPr="007A0B9E">
        <w:t>ospodarske/privredne komore, poljoprivredne, obrtničke i industrijske</w:t>
      </w:r>
      <w:r>
        <w:t xml:space="preserve"> komore</w:t>
      </w:r>
      <w:r w:rsidRPr="007A0B9E">
        <w:t>, klasteri registrir</w:t>
      </w:r>
      <w:r w:rsidR="00F80CA5">
        <w:t>ani kao neprofitne pravne osobe,</w:t>
      </w:r>
      <w:r>
        <w:t xml:space="preserve"> p</w:t>
      </w:r>
      <w:r w:rsidRPr="007A0B9E">
        <w:t>ol</w:t>
      </w:r>
      <w:r w:rsidR="00F80CA5">
        <w:t>joprivredna udruženja i zadruge,</w:t>
      </w:r>
      <w:r>
        <w:t xml:space="preserve"> n</w:t>
      </w:r>
      <w:r w:rsidRPr="007A0B9E">
        <w:t>acionalni i regionalni parkovi i parkovi prirode</w:t>
      </w:r>
      <w:r>
        <w:t xml:space="preserve"> itd. </w:t>
      </w:r>
    </w:p>
    <w:p w:rsidR="00C90465" w:rsidRDefault="00C90465" w:rsidP="00F868EF">
      <w:pPr>
        <w:pStyle w:val="Naslov2"/>
        <w:keepNext/>
        <w:keepLines/>
        <w:spacing w:before="120" w:after="120" w:line="240" w:lineRule="auto"/>
        <w:jc w:val="both"/>
        <w:rPr>
          <w:sz w:val="24"/>
          <w:szCs w:val="24"/>
        </w:rPr>
      </w:pPr>
      <w:r w:rsidRPr="00F6656A">
        <w:rPr>
          <w:sz w:val="24"/>
          <w:szCs w:val="24"/>
        </w:rPr>
        <w:t>Alokacija po programu</w:t>
      </w:r>
      <w:r>
        <w:rPr>
          <w:sz w:val="24"/>
          <w:szCs w:val="24"/>
        </w:rPr>
        <w:t xml:space="preserve"> i model sufinanciranja</w:t>
      </w:r>
    </w:p>
    <w:p w:rsidR="00C90465" w:rsidRDefault="00C90465" w:rsidP="00E45A2F">
      <w:pPr>
        <w:spacing w:after="120"/>
        <w:jc w:val="both"/>
      </w:pPr>
      <w:r w:rsidRPr="007A0B9E">
        <w:t xml:space="preserve">Godišnja alokacija je 1.000.000 </w:t>
      </w:r>
      <w:r>
        <w:t>EUR</w:t>
      </w:r>
      <w:r w:rsidRPr="007A0B9E">
        <w:t xml:space="preserve"> po državi od čega</w:t>
      </w:r>
      <w:r>
        <w:t xml:space="preserve"> </w:t>
      </w:r>
      <w:r w:rsidRPr="007A0B9E">
        <w:t>10% iznosa otpada na tehničku pomoć.</w:t>
      </w:r>
      <w:r>
        <w:t xml:space="preserve"> </w:t>
      </w:r>
      <w:r w:rsidRPr="00F6656A">
        <w:t xml:space="preserve">Minimalne i </w:t>
      </w:r>
      <w:r>
        <w:t>m</w:t>
      </w:r>
      <w:r w:rsidRPr="00F6656A">
        <w:t>a</w:t>
      </w:r>
      <w:r>
        <w:t>ks</w:t>
      </w:r>
      <w:r w:rsidRPr="00F6656A">
        <w:t xml:space="preserve">imalne alokacije po projektu kreću se od </w:t>
      </w:r>
      <w:r>
        <w:t>2</w:t>
      </w:r>
      <w:r w:rsidRPr="00F6656A">
        <w:t xml:space="preserve">0.000-300.000 </w:t>
      </w:r>
      <w:r>
        <w:t>EUR</w:t>
      </w:r>
      <w:r w:rsidRPr="00F6656A">
        <w:t xml:space="preserve">. </w:t>
      </w:r>
    </w:p>
    <w:p w:rsidR="00C90465" w:rsidRPr="00F357C9" w:rsidRDefault="00C90465" w:rsidP="00F357C9">
      <w:pPr>
        <w:jc w:val="both"/>
      </w:pPr>
      <w:r w:rsidRPr="00F357C9">
        <w:t>Kao i u svim ostalim programima prekogranične suradnje u kojima sudjeluje Republika Hrvatska</w:t>
      </w:r>
      <w:r w:rsidR="000F2E0E">
        <w:t xml:space="preserve"> u financijskom razdoblju od 2007. do 2013. godine</w:t>
      </w:r>
      <w:r w:rsidRPr="00F357C9">
        <w:t xml:space="preserve">, projekti se financiraju do 85% </w:t>
      </w:r>
      <w:r>
        <w:t xml:space="preserve">bespovratnim </w:t>
      </w:r>
      <w:r w:rsidRPr="00F357C9">
        <w:t>sredstvima</w:t>
      </w:r>
      <w:r w:rsidR="00F80CA5">
        <w:t xml:space="preserve"> EU</w:t>
      </w:r>
      <w:r w:rsidRPr="00F357C9">
        <w:t xml:space="preserve">, dok sufinanciranje od strane korisnika iznosi najmanje 15%. </w:t>
      </w:r>
      <w:r w:rsidR="00B635E8">
        <w:t>H</w:t>
      </w:r>
      <w:r w:rsidRPr="00F357C9">
        <w:t xml:space="preserve">rvatski partneri sufinanciraju projekte </w:t>
      </w:r>
      <w:r w:rsidRPr="00F357C9">
        <w:rPr>
          <w:color w:val="000000"/>
        </w:rPr>
        <w:t xml:space="preserve">vlastitim sredstvima, sredstvima partnera na projektu te sredstvima iz drugih izvora (drugi donatori, banke itd.) U </w:t>
      </w:r>
      <w:r w:rsidR="005C0A6B">
        <w:rPr>
          <w:color w:val="000000"/>
        </w:rPr>
        <w:t xml:space="preserve">programu </w:t>
      </w:r>
      <w:r w:rsidRPr="00F357C9">
        <w:rPr>
          <w:color w:val="000000"/>
        </w:rPr>
        <w:t xml:space="preserve">se </w:t>
      </w:r>
      <w:r w:rsidR="005C0A6B">
        <w:rPr>
          <w:color w:val="000000"/>
        </w:rPr>
        <w:t xml:space="preserve">koristi </w:t>
      </w:r>
      <w:r w:rsidRPr="00F357C9">
        <w:rPr>
          <w:color w:val="000000"/>
        </w:rPr>
        <w:t xml:space="preserve">metoda predfinanciranja od strane EU, prema kojoj korisnik </w:t>
      </w:r>
      <w:r w:rsidR="00B65390">
        <w:rPr>
          <w:color w:val="000000"/>
        </w:rPr>
        <w:t>bespovratnih sredstava</w:t>
      </w:r>
      <w:r w:rsidRPr="00F357C9">
        <w:rPr>
          <w:color w:val="000000"/>
        </w:rPr>
        <w:t xml:space="preserve"> dio sredstava (ovisno o </w:t>
      </w:r>
      <w:r w:rsidR="00B65390">
        <w:rPr>
          <w:color w:val="000000"/>
        </w:rPr>
        <w:t xml:space="preserve">njihovom iznosu </w:t>
      </w:r>
      <w:r w:rsidRPr="00F357C9">
        <w:rPr>
          <w:color w:val="000000"/>
        </w:rPr>
        <w:t>i trajanju projekta) dobiva unaprijed</w:t>
      </w:r>
      <w:r w:rsidR="00B65390">
        <w:rPr>
          <w:color w:val="000000"/>
        </w:rPr>
        <w:t>.</w:t>
      </w:r>
    </w:p>
    <w:p w:rsidR="00665C23" w:rsidRPr="009025D7" w:rsidRDefault="00C90465" w:rsidP="009025D7">
      <w:pPr>
        <w:pStyle w:val="Naslov2"/>
        <w:keepNext/>
        <w:keepLines/>
        <w:spacing w:before="120" w:after="120" w:line="240" w:lineRule="auto"/>
        <w:jc w:val="both"/>
        <w:rPr>
          <w:sz w:val="24"/>
          <w:szCs w:val="24"/>
        </w:rPr>
      </w:pPr>
      <w:r w:rsidRPr="009025D7">
        <w:rPr>
          <w:sz w:val="24"/>
          <w:szCs w:val="24"/>
        </w:rPr>
        <w:t>Sustav provedbe</w:t>
      </w:r>
    </w:p>
    <w:p w:rsidR="00665C23" w:rsidRPr="009025D7" w:rsidRDefault="00665C23" w:rsidP="009025D7">
      <w:pPr>
        <w:pStyle w:val="Naslov2"/>
        <w:keepNext/>
        <w:keepLines/>
        <w:spacing w:before="120" w:after="120" w:line="240" w:lineRule="auto"/>
        <w:jc w:val="both"/>
        <w:rPr>
          <w:b w:val="0"/>
          <w:sz w:val="24"/>
          <w:szCs w:val="24"/>
        </w:rPr>
      </w:pPr>
      <w:r w:rsidRPr="009025D7">
        <w:rPr>
          <w:b w:val="0"/>
          <w:sz w:val="24"/>
          <w:szCs w:val="24"/>
        </w:rPr>
        <w:t>Sustav provedbe je decentralizirano upravljanje bez prethodne ex-ante kontrole s hrvatske strane, a centralizir</w:t>
      </w:r>
      <w:r w:rsidR="009025D7">
        <w:rPr>
          <w:b w:val="0"/>
          <w:sz w:val="24"/>
          <w:szCs w:val="24"/>
        </w:rPr>
        <w:t>ano upravljanje s BiH strane. H</w:t>
      </w:r>
      <w:r w:rsidRPr="009025D7">
        <w:rPr>
          <w:b w:val="0"/>
          <w:sz w:val="24"/>
          <w:szCs w:val="24"/>
        </w:rPr>
        <w:t>rvatski projektni partneri mogu koristiti isključivo hrvatsku alokaciju programa, a ugovor sklapaju s Agencijom za regionalni razvoj Republike Hrvatske, dok partneri iz Bosne i Hercegovine koriste alokaciju za Bosnu i Hercegovinu, a ugovor sklapaju s Delegacijom Europske unije u Bosni i Hercegovini.</w:t>
      </w:r>
    </w:p>
    <w:p w:rsidR="00C90465" w:rsidRPr="00F868EF" w:rsidRDefault="00C90465" w:rsidP="00F868EF">
      <w:pPr>
        <w:spacing w:before="120" w:after="120"/>
        <w:jc w:val="both"/>
        <w:outlineLvl w:val="5"/>
        <w:rPr>
          <w:b/>
          <w:bCs/>
        </w:rPr>
      </w:pPr>
      <w:r w:rsidRPr="00F868EF">
        <w:rPr>
          <w:b/>
          <w:bCs/>
        </w:rPr>
        <w:t>Natječaji</w:t>
      </w:r>
    </w:p>
    <w:p w:rsidR="00BE0182" w:rsidRDefault="00BE0182" w:rsidP="00BE0182">
      <w:pPr>
        <w:spacing w:after="120"/>
        <w:jc w:val="both"/>
      </w:pPr>
      <w:r w:rsidRPr="00BE0182">
        <w:t>U sklopu Prekograničnog programa Hrvatska – Bosna i Hercegovina 2007</w:t>
      </w:r>
      <w:r w:rsidR="00FA679E">
        <w:t xml:space="preserve">. </w:t>
      </w:r>
      <w:r w:rsidRPr="00BE0182">
        <w:t>-</w:t>
      </w:r>
      <w:r w:rsidR="00FA679E">
        <w:t xml:space="preserve"> </w:t>
      </w:r>
      <w:r w:rsidRPr="00BE0182">
        <w:t>2013</w:t>
      </w:r>
      <w:r w:rsidR="00FA679E">
        <w:t>.</w:t>
      </w:r>
      <w:r w:rsidRPr="00BE0182">
        <w:t xml:space="preserve"> ukupno su raspisana tri poziva na dostavu projektnih prijedloga.</w:t>
      </w:r>
    </w:p>
    <w:p w:rsidR="00C90465" w:rsidRDefault="00C90465" w:rsidP="00F868EF">
      <w:pPr>
        <w:jc w:val="both"/>
      </w:pPr>
      <w:r>
        <w:t>Prvi poziv n</w:t>
      </w:r>
      <w:r w:rsidRPr="00FC535C">
        <w:t xml:space="preserve">a dostavu projektnih prijedloga bio </w:t>
      </w:r>
      <w:r>
        <w:t xml:space="preserve">je </w:t>
      </w:r>
      <w:r w:rsidR="00C759FE">
        <w:t>otvoren</w:t>
      </w:r>
      <w:r w:rsidRPr="00FC535C">
        <w:t xml:space="preserve"> od 17. srpnja do 16. listopada 2009. </w:t>
      </w:r>
      <w:r w:rsidR="00F868EF">
        <w:t>g</w:t>
      </w:r>
      <w:r w:rsidRPr="00FC535C">
        <w:t>odine</w:t>
      </w:r>
      <w:r w:rsidR="00F868EF">
        <w:t xml:space="preserve"> (financijske alokacije za 2007. i 2008. godinu)</w:t>
      </w:r>
      <w:r>
        <w:t xml:space="preserve">. </w:t>
      </w:r>
      <w:r w:rsidR="00F868EF">
        <w:t xml:space="preserve">U sklopu tog poziva na dostavu projektnih prijedloga, indikativni iznos od 3.600.000,00 EUR (1.800.000,00 EUR </w:t>
      </w:r>
      <w:r w:rsidR="004C26F9">
        <w:t xml:space="preserve">za </w:t>
      </w:r>
      <w:r w:rsidR="00E12154">
        <w:t>prijavitelje</w:t>
      </w:r>
      <w:r w:rsidR="00051478">
        <w:t xml:space="preserve"> iz Hrvatske</w:t>
      </w:r>
      <w:r w:rsidR="00F868EF">
        <w:t xml:space="preserve">, 1.800.000,00 EUR </w:t>
      </w:r>
      <w:r w:rsidR="00051478">
        <w:t xml:space="preserve">za </w:t>
      </w:r>
      <w:r w:rsidR="00E12154">
        <w:t>prijavitelje</w:t>
      </w:r>
      <w:r w:rsidR="00051478">
        <w:t xml:space="preserve"> iz Bosne i Hercegovine</w:t>
      </w:r>
      <w:r w:rsidR="00F868EF">
        <w:t>) bio</w:t>
      </w:r>
      <w:r w:rsidR="00051478">
        <w:t xml:space="preserve"> je na raspolaganju za implementaciju projekata u obje države. Ukupno je zaprimljeno 110 projektnih prijedloga, od čega je 14 projekata </w:t>
      </w:r>
      <w:r w:rsidR="00691BF5">
        <w:t xml:space="preserve">odobreno za financiranje. Ugovorena vrijednost tih projekata s hrvatske strane iznosila je </w:t>
      </w:r>
      <w:r w:rsidR="00051478" w:rsidRPr="00051478">
        <w:t>1.796.639,96 EUR</w:t>
      </w:r>
      <w:r w:rsidR="00684D7D">
        <w:t xml:space="preserve"> (iz dijela alokacije za hrvatske prijavitelje)</w:t>
      </w:r>
      <w:r w:rsidR="00051478">
        <w:t>.</w:t>
      </w:r>
    </w:p>
    <w:p w:rsidR="00665C23" w:rsidRPr="009025D7" w:rsidRDefault="00C759FE" w:rsidP="00051478">
      <w:pPr>
        <w:spacing w:before="120" w:after="120"/>
        <w:jc w:val="both"/>
        <w:rPr>
          <w:rFonts w:eastAsia="Times New Roman"/>
        </w:rPr>
      </w:pPr>
      <w:r>
        <w:t>Drugi poziv n</w:t>
      </w:r>
      <w:r w:rsidR="00C90465" w:rsidRPr="00FC535C">
        <w:t xml:space="preserve">a dostavu projektnih prijedloga </w:t>
      </w:r>
      <w:r w:rsidR="00C90465">
        <w:t xml:space="preserve">bio je </w:t>
      </w:r>
      <w:r>
        <w:t>otvoren</w:t>
      </w:r>
      <w:r w:rsidR="00C90465" w:rsidRPr="00FC535C">
        <w:t xml:space="preserve"> </w:t>
      </w:r>
      <w:r w:rsidR="00C90465">
        <w:t>od</w:t>
      </w:r>
      <w:r w:rsidR="00C90465" w:rsidRPr="00FC535C">
        <w:t xml:space="preserve"> 5. rujna do 5. prosinca 2011. </w:t>
      </w:r>
      <w:r>
        <w:t>g</w:t>
      </w:r>
      <w:r w:rsidR="00051478">
        <w:t xml:space="preserve">odine (financijske alokacije za 2009., 2010. i 2011. godinu). U sklopu tog poziva na dostavu projektnih prijedloga, </w:t>
      </w:r>
      <w:r w:rsidR="00691BF5">
        <w:t xml:space="preserve">na raspolaganju za implementaciju projekata u obje države bio je </w:t>
      </w:r>
      <w:r w:rsidR="00051478">
        <w:t xml:space="preserve">indikativni iznos od 5.400.000,00 EUR (2.700.000,00 EUR za </w:t>
      </w:r>
      <w:r w:rsidR="00E12154">
        <w:t>prijavitelje</w:t>
      </w:r>
      <w:r w:rsidR="00051478">
        <w:t xml:space="preserve"> iz Hrvatske, 2.700.000,00 EUR za </w:t>
      </w:r>
      <w:r w:rsidR="00E12154">
        <w:t>prijavitelje</w:t>
      </w:r>
      <w:r w:rsidR="00051478">
        <w:t xml:space="preserve"> iz Bosne i Hercegovine). Ukupno su zaprimljena 153 projektna prijedloga,</w:t>
      </w:r>
      <w:r w:rsidR="00E31F5F">
        <w:t xml:space="preserve"> od čega je odabrano </w:t>
      </w:r>
      <w:r w:rsidR="00034F31">
        <w:rPr>
          <w:rFonts w:eastAsia="Times New Roman"/>
        </w:rPr>
        <w:t>20 projekata</w:t>
      </w:r>
      <w:r w:rsidR="00E31F5F">
        <w:rPr>
          <w:rFonts w:eastAsia="Times New Roman"/>
        </w:rPr>
        <w:t>.</w:t>
      </w:r>
      <w:r w:rsidR="00665C23" w:rsidRPr="00665C23">
        <w:rPr>
          <w:rFonts w:eastAsia="Times New Roman"/>
        </w:rPr>
        <w:t xml:space="preserve"> </w:t>
      </w:r>
      <w:r w:rsidR="00E31F5F">
        <w:rPr>
          <w:rFonts w:eastAsia="Times New Roman"/>
        </w:rPr>
        <w:t>Uk</w:t>
      </w:r>
      <w:r w:rsidR="00665C23" w:rsidRPr="00665C23">
        <w:rPr>
          <w:rFonts w:eastAsia="Times New Roman"/>
        </w:rPr>
        <w:t xml:space="preserve">upna vrijednost ugovorenih sredstava </w:t>
      </w:r>
      <w:r w:rsidR="00347EFC">
        <w:rPr>
          <w:rFonts w:eastAsia="Times New Roman"/>
        </w:rPr>
        <w:t>iz dijela h</w:t>
      </w:r>
      <w:r w:rsidR="00E31F5F">
        <w:rPr>
          <w:rFonts w:eastAsia="Times New Roman"/>
        </w:rPr>
        <w:t xml:space="preserve">rvatske </w:t>
      </w:r>
      <w:r w:rsidR="00347EFC">
        <w:rPr>
          <w:rFonts w:eastAsia="Times New Roman"/>
        </w:rPr>
        <w:t xml:space="preserve">alokacije za </w:t>
      </w:r>
      <w:r w:rsidR="00691BF5">
        <w:rPr>
          <w:rFonts w:eastAsia="Times New Roman"/>
        </w:rPr>
        <w:t>odabrane projekte</w:t>
      </w:r>
      <w:r w:rsidR="00347EFC">
        <w:rPr>
          <w:rFonts w:eastAsia="Times New Roman"/>
        </w:rPr>
        <w:t xml:space="preserve"> </w:t>
      </w:r>
      <w:r w:rsidR="00691BF5">
        <w:rPr>
          <w:rFonts w:eastAsia="Times New Roman"/>
        </w:rPr>
        <w:t xml:space="preserve">iznosila </w:t>
      </w:r>
      <w:r w:rsidR="00347EFC">
        <w:rPr>
          <w:rFonts w:eastAsia="Times New Roman"/>
        </w:rPr>
        <w:t xml:space="preserve">je </w:t>
      </w:r>
      <w:r w:rsidR="00347EFC" w:rsidRPr="00347EFC">
        <w:rPr>
          <w:rFonts w:eastAsia="Times New Roman"/>
        </w:rPr>
        <w:t xml:space="preserve">2.684.538,74 </w:t>
      </w:r>
      <w:r w:rsidR="00936453" w:rsidRPr="00936453">
        <w:rPr>
          <w:rFonts w:eastAsia="Times New Roman"/>
        </w:rPr>
        <w:t>EUR.</w:t>
      </w:r>
    </w:p>
    <w:p w:rsidR="00665C23" w:rsidRDefault="00556108" w:rsidP="005A18A4">
      <w:pPr>
        <w:spacing w:after="120"/>
        <w:jc w:val="both"/>
        <w:rPr>
          <w:bCs/>
        </w:rPr>
      </w:pPr>
      <w:r w:rsidRPr="00926630">
        <w:rPr>
          <w:bCs/>
        </w:rPr>
        <w:t xml:space="preserve">Treći poziv na dostavu projektnih prijedloga bio je </w:t>
      </w:r>
      <w:r w:rsidR="00691BF5">
        <w:rPr>
          <w:bCs/>
        </w:rPr>
        <w:t xml:space="preserve">otvoren </w:t>
      </w:r>
      <w:r w:rsidRPr="00926630">
        <w:rPr>
          <w:bCs/>
        </w:rPr>
        <w:t xml:space="preserve">od 6. kolovoza do 4. studenoga 2013. za alokacije za 2012. i 2013. godinu. </w:t>
      </w:r>
      <w:r w:rsidR="00691BF5" w:rsidRPr="000C234F">
        <w:rPr>
          <w:bCs/>
        </w:rPr>
        <w:t xml:space="preserve">U okviru ovog poziva </w:t>
      </w:r>
      <w:r w:rsidR="00691BF5" w:rsidRPr="00691BF5">
        <w:rPr>
          <w:bCs/>
        </w:rPr>
        <w:t>na raspolaganju za projektne prijedloge iz obje partnerske zemlje bio je indikativni iznos od 3.822.090,56 EUR (1.800.000 EUR za Hrvatsku i 2.022.090,56 EUR za Bosnu i Hercegovinu).</w:t>
      </w:r>
      <w:r w:rsidR="00691BF5">
        <w:rPr>
          <w:bCs/>
        </w:rPr>
        <w:t xml:space="preserve"> </w:t>
      </w:r>
      <w:r w:rsidR="00363F0F" w:rsidRPr="00363F0F">
        <w:rPr>
          <w:bCs/>
        </w:rPr>
        <w:t xml:space="preserve">Ukupno </w:t>
      </w:r>
      <w:r w:rsidR="00FA679E">
        <w:rPr>
          <w:bCs/>
        </w:rPr>
        <w:t>su</w:t>
      </w:r>
      <w:r w:rsidR="00363F0F" w:rsidRPr="00363F0F">
        <w:rPr>
          <w:bCs/>
        </w:rPr>
        <w:t xml:space="preserve"> zaprimljen</w:t>
      </w:r>
      <w:r w:rsidR="00FA679E">
        <w:rPr>
          <w:bCs/>
        </w:rPr>
        <w:t>a</w:t>
      </w:r>
      <w:r w:rsidR="00363F0F" w:rsidRPr="00363F0F">
        <w:rPr>
          <w:bCs/>
        </w:rPr>
        <w:t xml:space="preserve"> 182 projektn</w:t>
      </w:r>
      <w:r w:rsidR="00363F0F">
        <w:rPr>
          <w:bCs/>
        </w:rPr>
        <w:t>a</w:t>
      </w:r>
      <w:r w:rsidR="00363F0F" w:rsidRPr="00363F0F">
        <w:rPr>
          <w:bCs/>
        </w:rPr>
        <w:t xml:space="preserve"> prijedloga</w:t>
      </w:r>
      <w:bookmarkStart w:id="0" w:name="_GoBack"/>
      <w:bookmarkEnd w:id="0"/>
      <w:r w:rsidR="00363F0F" w:rsidRPr="00363F0F">
        <w:rPr>
          <w:bCs/>
        </w:rPr>
        <w:t>.</w:t>
      </w:r>
    </w:p>
    <w:p w:rsidR="005A18A4" w:rsidRDefault="005A18A4" w:rsidP="00FC535C">
      <w:pPr>
        <w:jc w:val="both"/>
        <w:rPr>
          <w:bCs/>
        </w:rPr>
      </w:pPr>
      <w:r>
        <w:rPr>
          <w:bCs/>
        </w:rPr>
        <w:lastRenderedPageBreak/>
        <w:t xml:space="preserve">U sklopu ovog Programa </w:t>
      </w:r>
      <w:r w:rsidRPr="005A18A4">
        <w:rPr>
          <w:bCs/>
        </w:rPr>
        <w:t>neće se raspisivati novi natječaji za dostavu projektnih prijedloga. Prekogranična suradnja Hrvatska – Bosna i Hercegovina nastavit će se i u novom financijskom razdoblju 2014.-2020. u okviru trilateralnog Interreg IPA programa prekogranične suradnje Hrvatska-Bosna i Hercegovina-Crna Gora.</w:t>
      </w:r>
    </w:p>
    <w:p w:rsidR="005A18A4" w:rsidRPr="00691BF5" w:rsidRDefault="005A18A4" w:rsidP="00FC535C">
      <w:pPr>
        <w:jc w:val="both"/>
        <w:rPr>
          <w:bCs/>
        </w:rPr>
      </w:pPr>
    </w:p>
    <w:p w:rsidR="00E564A6" w:rsidRPr="00556108" w:rsidRDefault="00E564A6" w:rsidP="00E564A6">
      <w:pPr>
        <w:autoSpaceDE w:val="0"/>
        <w:autoSpaceDN w:val="0"/>
        <w:adjustRightInd w:val="0"/>
        <w:jc w:val="both"/>
        <w:rPr>
          <w:b/>
          <w:noProof/>
        </w:rPr>
      </w:pPr>
      <w:r w:rsidRPr="00556108">
        <w:rPr>
          <w:b/>
          <w:noProof/>
        </w:rPr>
        <w:t>Informacije o programu</w:t>
      </w:r>
    </w:p>
    <w:p w:rsidR="00665C23" w:rsidRPr="00691BF5" w:rsidRDefault="00691BF5" w:rsidP="00691BF5">
      <w:pPr>
        <w:jc w:val="both"/>
        <w:rPr>
          <w:bCs/>
        </w:rPr>
      </w:pPr>
      <w:r w:rsidRPr="00691BF5">
        <w:rPr>
          <w:bCs/>
        </w:rPr>
        <w:t>Dodatne informacije vezane uz provedbu programa kao i kontakte Zajedničkog tehničkog tajništva možete naći na internet stranici programa:</w:t>
      </w:r>
      <w:r>
        <w:rPr>
          <w:bCs/>
        </w:rPr>
        <w:t xml:space="preserve"> </w:t>
      </w:r>
      <w:hyperlink r:id="rId9" w:history="1">
        <w:r w:rsidRPr="00691BF5">
          <w:rPr>
            <w:rStyle w:val="Hiperveza"/>
            <w:bCs/>
          </w:rPr>
          <w:t>www.cbc-cro-bih.net</w:t>
        </w:r>
      </w:hyperlink>
      <w:r w:rsidRPr="00691BF5">
        <w:rPr>
          <w:bCs/>
        </w:rPr>
        <w:t xml:space="preserve"> </w:t>
      </w:r>
    </w:p>
    <w:p w:rsidR="000B42E1" w:rsidRDefault="000B42E1" w:rsidP="00FC535C">
      <w:pPr>
        <w:jc w:val="both"/>
        <w:rPr>
          <w:b/>
          <w:bCs/>
        </w:rPr>
      </w:pPr>
    </w:p>
    <w:p w:rsidR="000B42E1" w:rsidRPr="00D9495C" w:rsidRDefault="000B42E1" w:rsidP="00FC535C">
      <w:pPr>
        <w:jc w:val="both"/>
        <w:rPr>
          <w:b/>
          <w:bCs/>
        </w:rPr>
      </w:pPr>
    </w:p>
    <w:p w:rsidR="00C90465" w:rsidRPr="00D30E62" w:rsidRDefault="00C90465" w:rsidP="00367E64">
      <w:pPr>
        <w:rPr>
          <w:rFonts w:ascii="Times New Roman Bold" w:hAnsi="Times New Roman Bold" w:cs="Times New Roman Bold"/>
          <w:b/>
          <w:bCs/>
          <w:sz w:val="22"/>
          <w:szCs w:val="22"/>
          <w:u w:val="single"/>
        </w:rPr>
      </w:pPr>
      <w:r w:rsidRPr="00D30E62">
        <w:rPr>
          <w:rFonts w:ascii="Times New Roman Bold" w:hAnsi="Times New Roman Bold" w:cs="Times New Roman Bold"/>
          <w:b/>
          <w:bCs/>
          <w:sz w:val="22"/>
          <w:szCs w:val="22"/>
          <w:u w:val="single"/>
        </w:rPr>
        <w:t>Kontakt</w:t>
      </w:r>
      <w:r w:rsidR="00D30E62">
        <w:rPr>
          <w:rFonts w:ascii="Times New Roman Bold" w:hAnsi="Times New Roman Bold" w:cs="Times New Roman Bold"/>
          <w:b/>
          <w:bCs/>
          <w:sz w:val="22"/>
          <w:szCs w:val="22"/>
          <w:u w:val="single"/>
        </w:rPr>
        <w:t>i</w:t>
      </w:r>
      <w:r w:rsidRPr="00D30E62">
        <w:rPr>
          <w:rFonts w:ascii="Times New Roman Bold" w:hAnsi="Times New Roman Bold" w:cs="Times New Roman Bold"/>
          <w:b/>
          <w:bCs/>
          <w:sz w:val="22"/>
          <w:szCs w:val="22"/>
          <w:u w:val="single"/>
        </w:rPr>
        <w:t xml:space="preserve"> :</w:t>
      </w:r>
    </w:p>
    <w:p w:rsidR="00C90465" w:rsidRPr="00D30E62" w:rsidRDefault="00C90465" w:rsidP="00367E64">
      <w:r w:rsidRPr="00D30E62">
        <w:t>Krunčica Rakić</w:t>
      </w:r>
      <w:r w:rsidR="00B520D7" w:rsidRPr="00D30E62">
        <w:t>, Task Manager</w:t>
      </w:r>
    </w:p>
    <w:p w:rsidR="00C90465" w:rsidRDefault="00C90465" w:rsidP="00367E64">
      <w:r w:rsidRPr="00D30E62">
        <w:t xml:space="preserve">E-mail: </w:t>
      </w:r>
      <w:hyperlink r:id="rId10" w:history="1">
        <w:r w:rsidR="00B65390" w:rsidRPr="00E72832">
          <w:rPr>
            <w:rStyle w:val="Hiperveza"/>
          </w:rPr>
          <w:t>kruncica.rakic@mrrfeu.hr</w:t>
        </w:r>
      </w:hyperlink>
    </w:p>
    <w:p w:rsidR="00F579EA" w:rsidRPr="00D30E62" w:rsidRDefault="00F579EA" w:rsidP="00FC535C">
      <w:pPr>
        <w:autoSpaceDE w:val="0"/>
        <w:autoSpaceDN w:val="0"/>
        <w:adjustRightInd w:val="0"/>
        <w:jc w:val="both"/>
        <w:rPr>
          <w:rFonts w:ascii="Times New Roman Bold" w:hAnsi="Times New Roman Bold" w:cs="Times New Roman Bold"/>
          <w:b/>
          <w:bCs/>
          <w:color w:val="4F81BD" w:themeColor="accent1"/>
        </w:rPr>
      </w:pPr>
    </w:p>
    <w:p w:rsidR="00F579EA" w:rsidRPr="00D30E62" w:rsidRDefault="00691BF5" w:rsidP="00F579EA">
      <w:r>
        <w:t>Kristina Markić</w:t>
      </w:r>
      <w:r w:rsidR="00B520D7" w:rsidRPr="00D30E62">
        <w:t xml:space="preserve">, </w:t>
      </w:r>
      <w:r w:rsidR="00B520D7" w:rsidRPr="00D30E62">
        <w:rPr>
          <w:rFonts w:eastAsia="Times New Roman"/>
        </w:rPr>
        <w:t>Voditeljica ZTT/ZTS-a</w:t>
      </w:r>
    </w:p>
    <w:p w:rsidR="00F579EA" w:rsidRPr="00D30E62" w:rsidRDefault="00F579EA" w:rsidP="00F579EA">
      <w:r w:rsidRPr="00D30E62">
        <w:t xml:space="preserve">E-mail: </w:t>
      </w:r>
      <w:hyperlink r:id="rId11" w:history="1">
        <w:r w:rsidRPr="00D30E62">
          <w:rPr>
            <w:rStyle w:val="Hiperveza"/>
          </w:rPr>
          <w:t>head@cbc-cro-bih.net</w:t>
        </w:r>
      </w:hyperlink>
    </w:p>
    <w:p w:rsidR="00F579EA" w:rsidRPr="00D30E62" w:rsidRDefault="00F579EA" w:rsidP="00FC535C">
      <w:pPr>
        <w:autoSpaceDE w:val="0"/>
        <w:autoSpaceDN w:val="0"/>
        <w:adjustRightInd w:val="0"/>
        <w:jc w:val="both"/>
        <w:rPr>
          <w:rFonts w:ascii="Times New Roman Bold" w:hAnsi="Times New Roman Bold" w:cs="Times New Roman Bold"/>
          <w:b/>
          <w:bCs/>
          <w:color w:val="4F81BD" w:themeColor="accent1"/>
        </w:rPr>
      </w:pPr>
    </w:p>
    <w:p w:rsidR="00B520D7" w:rsidRPr="00D30E62" w:rsidRDefault="00691BF5" w:rsidP="00B520D7">
      <w:pPr>
        <w:autoSpaceDE w:val="0"/>
        <w:autoSpaceDN w:val="0"/>
        <w:adjustRightInd w:val="0"/>
        <w:jc w:val="both"/>
        <w:rPr>
          <w:lang w:eastAsia="en-US"/>
        </w:rPr>
      </w:pPr>
      <w:r w:rsidRPr="00D30E62">
        <w:rPr>
          <w:lang w:eastAsia="en-US"/>
        </w:rPr>
        <w:t xml:space="preserve">Antonio </w:t>
      </w:r>
      <w:r w:rsidR="00B520D7" w:rsidRPr="00D30E62">
        <w:rPr>
          <w:lang w:eastAsia="en-US"/>
        </w:rPr>
        <w:t>Pocrnić, Djelatnik za informiranje javnosti</w:t>
      </w:r>
    </w:p>
    <w:p w:rsidR="00BF1984" w:rsidRPr="00E72832" w:rsidRDefault="00B520D7" w:rsidP="00FC535C">
      <w:pPr>
        <w:autoSpaceDE w:val="0"/>
        <w:autoSpaceDN w:val="0"/>
        <w:adjustRightInd w:val="0"/>
        <w:jc w:val="both"/>
        <w:rPr>
          <w:color w:val="0000FF"/>
          <w:u w:val="single"/>
        </w:rPr>
      </w:pPr>
      <w:r w:rsidRPr="00D30E62">
        <w:rPr>
          <w:lang w:eastAsia="en-US"/>
        </w:rPr>
        <w:t xml:space="preserve">E-mail: </w:t>
      </w:r>
      <w:r w:rsidRPr="00E72832">
        <w:rPr>
          <w:rStyle w:val="Hiperveza"/>
        </w:rPr>
        <w:t>pr@cbc-cro-bih.net</w:t>
      </w:r>
    </w:p>
    <w:sectPr w:rsidR="00BF1984" w:rsidRPr="00E72832" w:rsidSect="00BF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F4E"/>
    <w:multiLevelType w:val="hybridMultilevel"/>
    <w:tmpl w:val="41C8E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42233"/>
    <w:multiLevelType w:val="hybridMultilevel"/>
    <w:tmpl w:val="4DFE6EA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8653B"/>
    <w:multiLevelType w:val="hybridMultilevel"/>
    <w:tmpl w:val="6FA23396"/>
    <w:lvl w:ilvl="0" w:tplc="6AA47C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349A5"/>
    <w:multiLevelType w:val="hybridMultilevel"/>
    <w:tmpl w:val="F3DE416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B200260"/>
    <w:multiLevelType w:val="hybridMultilevel"/>
    <w:tmpl w:val="F42CC1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FA"/>
    <w:rsid w:val="00034F31"/>
    <w:rsid w:val="00051478"/>
    <w:rsid w:val="0005322C"/>
    <w:rsid w:val="000627E2"/>
    <w:rsid w:val="000B42E1"/>
    <w:rsid w:val="000F2E0E"/>
    <w:rsid w:val="001225B9"/>
    <w:rsid w:val="001502C9"/>
    <w:rsid w:val="001528EB"/>
    <w:rsid w:val="00160DFA"/>
    <w:rsid w:val="001A55A0"/>
    <w:rsid w:val="001B6BF1"/>
    <w:rsid w:val="00347EFC"/>
    <w:rsid w:val="00363F0F"/>
    <w:rsid w:val="00367E64"/>
    <w:rsid w:val="00394FF2"/>
    <w:rsid w:val="003C0513"/>
    <w:rsid w:val="003F42D4"/>
    <w:rsid w:val="003F6901"/>
    <w:rsid w:val="0042614C"/>
    <w:rsid w:val="004324F6"/>
    <w:rsid w:val="004463A0"/>
    <w:rsid w:val="00451369"/>
    <w:rsid w:val="004A2F8E"/>
    <w:rsid w:val="004A40F3"/>
    <w:rsid w:val="004C26F9"/>
    <w:rsid w:val="00556108"/>
    <w:rsid w:val="00595E1D"/>
    <w:rsid w:val="005A18A4"/>
    <w:rsid w:val="005C0A6B"/>
    <w:rsid w:val="006627A1"/>
    <w:rsid w:val="00663235"/>
    <w:rsid w:val="00665C23"/>
    <w:rsid w:val="00670A22"/>
    <w:rsid w:val="00684D7D"/>
    <w:rsid w:val="00691BF5"/>
    <w:rsid w:val="00711158"/>
    <w:rsid w:val="00751EB9"/>
    <w:rsid w:val="007A0B9E"/>
    <w:rsid w:val="007A2D14"/>
    <w:rsid w:val="009025D7"/>
    <w:rsid w:val="00936453"/>
    <w:rsid w:val="009B3627"/>
    <w:rsid w:val="009C1FF9"/>
    <w:rsid w:val="009E157B"/>
    <w:rsid w:val="009E6634"/>
    <w:rsid w:val="00A05C1E"/>
    <w:rsid w:val="00A30367"/>
    <w:rsid w:val="00B03269"/>
    <w:rsid w:val="00B520D7"/>
    <w:rsid w:val="00B635E8"/>
    <w:rsid w:val="00B65390"/>
    <w:rsid w:val="00BA02EB"/>
    <w:rsid w:val="00BE0182"/>
    <w:rsid w:val="00BF0029"/>
    <w:rsid w:val="00BF1984"/>
    <w:rsid w:val="00C2466C"/>
    <w:rsid w:val="00C759FE"/>
    <w:rsid w:val="00C90465"/>
    <w:rsid w:val="00D30E62"/>
    <w:rsid w:val="00D63C5A"/>
    <w:rsid w:val="00D71558"/>
    <w:rsid w:val="00D9495C"/>
    <w:rsid w:val="00DA5904"/>
    <w:rsid w:val="00E12154"/>
    <w:rsid w:val="00E17C94"/>
    <w:rsid w:val="00E31F5F"/>
    <w:rsid w:val="00E45A2F"/>
    <w:rsid w:val="00E564A6"/>
    <w:rsid w:val="00E6252F"/>
    <w:rsid w:val="00E72832"/>
    <w:rsid w:val="00EA19AF"/>
    <w:rsid w:val="00EB5FA2"/>
    <w:rsid w:val="00EC657D"/>
    <w:rsid w:val="00F1467B"/>
    <w:rsid w:val="00F357C9"/>
    <w:rsid w:val="00F579EA"/>
    <w:rsid w:val="00F6656A"/>
    <w:rsid w:val="00F710AE"/>
    <w:rsid w:val="00F80CA5"/>
    <w:rsid w:val="00F868EF"/>
    <w:rsid w:val="00FA2200"/>
    <w:rsid w:val="00FA679E"/>
    <w:rsid w:val="00FC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FA"/>
    <w:rPr>
      <w:rFonts w:ascii="Times New Roman" w:hAnsi="Times New Roman"/>
      <w:sz w:val="24"/>
      <w:szCs w:val="24"/>
    </w:rPr>
  </w:style>
  <w:style w:type="paragraph" w:styleId="Naslov2">
    <w:name w:val="heading 2"/>
    <w:basedOn w:val="Normal"/>
    <w:link w:val="Naslov2Char"/>
    <w:uiPriority w:val="99"/>
    <w:qFormat/>
    <w:locked/>
    <w:rsid w:val="003C0513"/>
    <w:pPr>
      <w:spacing w:after="150" w:line="330" w:lineRule="atLeast"/>
      <w:outlineLvl w:val="1"/>
    </w:pPr>
    <w:rPr>
      <w:rFonts w:eastAsia="Times New Roman"/>
      <w:b/>
      <w:bCs/>
      <w:color w:val="292929"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C0513"/>
    <w:rPr>
      <w:rFonts w:eastAsia="Times New Roman"/>
      <w:b/>
      <w:bCs/>
      <w:color w:val="292929"/>
      <w:sz w:val="27"/>
      <w:szCs w:val="27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160D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60DFA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rsid w:val="00160DFA"/>
    <w:rPr>
      <w:color w:val="0000FF"/>
      <w:u w:val="single"/>
    </w:rPr>
  </w:style>
  <w:style w:type="paragraph" w:styleId="StandardWeb">
    <w:name w:val="Normal (Web)"/>
    <w:basedOn w:val="Normal"/>
    <w:uiPriority w:val="99"/>
    <w:rsid w:val="00160DFA"/>
    <w:pPr>
      <w:spacing w:before="100" w:beforeAutospacing="1" w:after="100" w:afterAutospacing="1"/>
    </w:pPr>
    <w:rPr>
      <w:rFonts w:eastAsia="Times New Roman"/>
    </w:rPr>
  </w:style>
  <w:style w:type="paragraph" w:customStyle="1" w:styleId="extcalnavbar1">
    <w:name w:val="extcal_navbar1"/>
    <w:basedOn w:val="Normal"/>
    <w:uiPriority w:val="99"/>
    <w:rsid w:val="00160DFA"/>
    <w:pPr>
      <w:pBdr>
        <w:bottom w:val="single" w:sz="6" w:space="0" w:color="B4B4B6"/>
      </w:pBdr>
      <w:spacing w:before="100" w:beforeAutospacing="1" w:after="100" w:afterAutospacing="1"/>
    </w:pPr>
    <w:rPr>
      <w:rFonts w:eastAsia="Times New Roman"/>
    </w:rPr>
  </w:style>
  <w:style w:type="character" w:styleId="Naglaeno">
    <w:name w:val="Strong"/>
    <w:basedOn w:val="Zadanifontodlomka"/>
    <w:uiPriority w:val="22"/>
    <w:qFormat/>
    <w:rsid w:val="00160DFA"/>
    <w:rPr>
      <w:b/>
      <w:bCs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rsid w:val="00160DF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locked/>
    <w:rsid w:val="00160DFA"/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rsid w:val="00160DF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locked/>
    <w:rsid w:val="00160DFA"/>
    <w:rPr>
      <w:rFonts w:ascii="Arial" w:hAnsi="Arial" w:cs="Arial"/>
      <w:vanish/>
      <w:sz w:val="16"/>
      <w:szCs w:val="16"/>
      <w:lang w:eastAsia="hr-HR"/>
    </w:rPr>
  </w:style>
  <w:style w:type="paragraph" w:customStyle="1" w:styleId="t-9-8">
    <w:name w:val="t-9-8"/>
    <w:basedOn w:val="Normal"/>
    <w:uiPriority w:val="99"/>
    <w:rsid w:val="004324F6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Zadanifontodlomka"/>
    <w:uiPriority w:val="99"/>
    <w:rsid w:val="003C0513"/>
  </w:style>
  <w:style w:type="character" w:styleId="Referencakomentara">
    <w:name w:val="annotation reference"/>
    <w:basedOn w:val="Zadanifontodlomka"/>
    <w:uiPriority w:val="99"/>
    <w:semiHidden/>
    <w:unhideWhenUsed/>
    <w:rsid w:val="00EA19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19A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19AF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19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19AF"/>
    <w:rPr>
      <w:rFonts w:ascii="Times New Roman" w:hAnsi="Times New Roman"/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F868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FA"/>
    <w:rPr>
      <w:rFonts w:ascii="Times New Roman" w:hAnsi="Times New Roman"/>
      <w:sz w:val="24"/>
      <w:szCs w:val="24"/>
    </w:rPr>
  </w:style>
  <w:style w:type="paragraph" w:styleId="Naslov2">
    <w:name w:val="heading 2"/>
    <w:basedOn w:val="Normal"/>
    <w:link w:val="Naslov2Char"/>
    <w:uiPriority w:val="99"/>
    <w:qFormat/>
    <w:locked/>
    <w:rsid w:val="003C0513"/>
    <w:pPr>
      <w:spacing w:after="150" w:line="330" w:lineRule="atLeast"/>
      <w:outlineLvl w:val="1"/>
    </w:pPr>
    <w:rPr>
      <w:rFonts w:eastAsia="Times New Roman"/>
      <w:b/>
      <w:bCs/>
      <w:color w:val="292929"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C0513"/>
    <w:rPr>
      <w:rFonts w:eastAsia="Times New Roman"/>
      <w:b/>
      <w:bCs/>
      <w:color w:val="292929"/>
      <w:sz w:val="27"/>
      <w:szCs w:val="27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160D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60DFA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rsid w:val="00160DFA"/>
    <w:rPr>
      <w:color w:val="0000FF"/>
      <w:u w:val="single"/>
    </w:rPr>
  </w:style>
  <w:style w:type="paragraph" w:styleId="StandardWeb">
    <w:name w:val="Normal (Web)"/>
    <w:basedOn w:val="Normal"/>
    <w:uiPriority w:val="99"/>
    <w:rsid w:val="00160DFA"/>
    <w:pPr>
      <w:spacing w:before="100" w:beforeAutospacing="1" w:after="100" w:afterAutospacing="1"/>
    </w:pPr>
    <w:rPr>
      <w:rFonts w:eastAsia="Times New Roman"/>
    </w:rPr>
  </w:style>
  <w:style w:type="paragraph" w:customStyle="1" w:styleId="extcalnavbar1">
    <w:name w:val="extcal_navbar1"/>
    <w:basedOn w:val="Normal"/>
    <w:uiPriority w:val="99"/>
    <w:rsid w:val="00160DFA"/>
    <w:pPr>
      <w:pBdr>
        <w:bottom w:val="single" w:sz="6" w:space="0" w:color="B4B4B6"/>
      </w:pBdr>
      <w:spacing w:before="100" w:beforeAutospacing="1" w:after="100" w:afterAutospacing="1"/>
    </w:pPr>
    <w:rPr>
      <w:rFonts w:eastAsia="Times New Roman"/>
    </w:rPr>
  </w:style>
  <w:style w:type="character" w:styleId="Naglaeno">
    <w:name w:val="Strong"/>
    <w:basedOn w:val="Zadanifontodlomka"/>
    <w:uiPriority w:val="22"/>
    <w:qFormat/>
    <w:rsid w:val="00160DFA"/>
    <w:rPr>
      <w:b/>
      <w:bCs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rsid w:val="00160DF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locked/>
    <w:rsid w:val="00160DFA"/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rsid w:val="00160DF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locked/>
    <w:rsid w:val="00160DFA"/>
    <w:rPr>
      <w:rFonts w:ascii="Arial" w:hAnsi="Arial" w:cs="Arial"/>
      <w:vanish/>
      <w:sz w:val="16"/>
      <w:szCs w:val="16"/>
      <w:lang w:eastAsia="hr-HR"/>
    </w:rPr>
  </w:style>
  <w:style w:type="paragraph" w:customStyle="1" w:styleId="t-9-8">
    <w:name w:val="t-9-8"/>
    <w:basedOn w:val="Normal"/>
    <w:uiPriority w:val="99"/>
    <w:rsid w:val="004324F6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Zadanifontodlomka"/>
    <w:uiPriority w:val="99"/>
    <w:rsid w:val="003C0513"/>
  </w:style>
  <w:style w:type="character" w:styleId="Referencakomentara">
    <w:name w:val="annotation reference"/>
    <w:basedOn w:val="Zadanifontodlomka"/>
    <w:uiPriority w:val="99"/>
    <w:semiHidden/>
    <w:unhideWhenUsed/>
    <w:rsid w:val="00EA19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19A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19AF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19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19AF"/>
    <w:rPr>
      <w:rFonts w:ascii="Times New Roman" w:hAnsi="Times New Roman"/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F868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5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52992">
                                      <w:marLeft w:val="225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375300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5300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75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37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c-cro-bih.net/hr/item/18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bc-cro-bih.net/hr/item/1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head@cbc-cro-bih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uncica.rakic@mrrfeu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c-cro-bi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IPA PROGRAM PREKOGRANIČNE SURADNJE</vt:lpstr>
    </vt:vector>
  </TitlesOfParts>
  <Company>MRRŠVG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 PROGRAM PREKOGRANIČNE SURADNJE</dc:title>
  <dc:creator>kruncica.rakic</dc:creator>
  <cp:lastModifiedBy>Ljubica Vuko</cp:lastModifiedBy>
  <cp:revision>10</cp:revision>
  <dcterms:created xsi:type="dcterms:W3CDTF">2015-06-24T06:40:00Z</dcterms:created>
  <dcterms:modified xsi:type="dcterms:W3CDTF">2015-06-26T09:34:00Z</dcterms:modified>
</cp:coreProperties>
</file>